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F093" w14:textId="77777777" w:rsidR="009E39D9" w:rsidRDefault="009E39D9"/>
    <w:p w14:paraId="0A162720" w14:textId="77777777" w:rsidR="00AB7A5A" w:rsidRDefault="00AB7A5A"/>
    <w:p w14:paraId="0EE7A36F" w14:textId="28F29779" w:rsidR="00AB7A5A" w:rsidRDefault="0073728B" w:rsidP="0073728B">
      <w:pPr>
        <w:jc w:val="center"/>
      </w:pPr>
      <w:r w:rsidRPr="0028091F">
        <w:rPr>
          <w:noProof/>
        </w:rPr>
        <w:drawing>
          <wp:inline distT="0" distB="0" distL="0" distR="0" wp14:anchorId="17DA618B" wp14:editId="0CD02A47">
            <wp:extent cx="719973" cy="948965"/>
            <wp:effectExtent l="57150" t="38100" r="23495" b="2286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48690"/>
                    </a:xfrm>
                    <a:prstGeom prst="rect">
                      <a:avLst/>
                    </a:prstGeom>
                    <a:effectLst>
                      <a:outerShdw blurRad="50800" dist="50800" dir="5400000" sx="1000" sy="1000" algn="ctr" rotWithShape="0">
                        <a:srgbClr val="000000">
                          <a:alpha val="43137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contourClr>
                        <a:sysClr val="windowText" lastClr="000000">
                          <a:lumMod val="95000"/>
                          <a:lumOff val="5000"/>
                        </a:sysClr>
                      </a:contourClr>
                    </a:sp3d>
                  </pic:spPr>
                </pic:pic>
              </a:graphicData>
            </a:graphic>
          </wp:inline>
        </w:drawing>
      </w:r>
    </w:p>
    <w:p w14:paraId="6775A4A0" w14:textId="77777777" w:rsidR="00AB7A5A" w:rsidRDefault="00AB7A5A"/>
    <w:p w14:paraId="27397D05" w14:textId="77777777" w:rsidR="00AB7A5A" w:rsidRDefault="00AB7A5A"/>
    <w:p w14:paraId="637DFC0F" w14:textId="77777777" w:rsidR="00AB7A5A" w:rsidRDefault="00AB7A5A"/>
    <w:p w14:paraId="733BC415" w14:textId="77777777" w:rsidR="00AB7A5A" w:rsidRDefault="00AB7A5A"/>
    <w:p w14:paraId="56DE4467" w14:textId="77777777" w:rsidR="00AB7A5A" w:rsidRDefault="00AB7A5A"/>
    <w:p w14:paraId="27F2F71D" w14:textId="56B9152A" w:rsidR="007B59C3" w:rsidRPr="001E75AA" w:rsidRDefault="0073728B" w:rsidP="0073728B">
      <w:pPr>
        <w:spacing w:line="360" w:lineRule="auto"/>
        <w:rPr>
          <w:rFonts w:ascii="Arial" w:hAnsi="Arial" w:cs="Arial"/>
          <w:b/>
          <w:color w:val="1F497D"/>
          <w:sz w:val="52"/>
          <w:szCs w:val="52"/>
        </w:rPr>
      </w:pPr>
      <w:r>
        <w:rPr>
          <w:rFonts w:ascii="Arial" w:hAnsi="Arial" w:cs="Arial"/>
          <w:b/>
          <w:color w:val="1F497D"/>
          <w:sz w:val="52"/>
          <w:szCs w:val="52"/>
        </w:rPr>
        <w:t xml:space="preserve">           </w:t>
      </w:r>
      <w:r w:rsidR="001E75AA" w:rsidRPr="001E75AA">
        <w:rPr>
          <w:rFonts w:ascii="Arial" w:hAnsi="Arial" w:cs="Arial"/>
          <w:b/>
          <w:color w:val="1F497D"/>
          <w:sz w:val="52"/>
          <w:szCs w:val="52"/>
        </w:rPr>
        <w:t xml:space="preserve">COMUNE DI </w:t>
      </w:r>
      <w:r>
        <w:rPr>
          <w:rFonts w:ascii="Arial" w:hAnsi="Arial" w:cs="Arial"/>
          <w:b/>
          <w:color w:val="1F497D"/>
          <w:sz w:val="52"/>
          <w:szCs w:val="52"/>
        </w:rPr>
        <w:t>GAMBASCA</w:t>
      </w:r>
    </w:p>
    <w:p w14:paraId="0AA59080" w14:textId="376283A8" w:rsidR="001E75AA" w:rsidRPr="001C3E38" w:rsidRDefault="001E75AA" w:rsidP="0073728B">
      <w:pPr>
        <w:spacing w:line="360" w:lineRule="auto"/>
        <w:ind w:left="2832"/>
        <w:rPr>
          <w:rFonts w:ascii="Arial" w:hAnsi="Arial" w:cs="Arial"/>
          <w:b/>
          <w:color w:val="1F497D"/>
          <w:sz w:val="20"/>
          <w:szCs w:val="20"/>
        </w:rPr>
      </w:pPr>
      <w:r>
        <w:rPr>
          <w:rFonts w:ascii="Arial" w:hAnsi="Arial" w:cs="Arial"/>
          <w:b/>
          <w:color w:val="1F497D"/>
          <w:sz w:val="48"/>
          <w:szCs w:val="20"/>
        </w:rPr>
        <w:t>Prov. CUNEO</w:t>
      </w:r>
    </w:p>
    <w:p w14:paraId="2EFEE941" w14:textId="77777777" w:rsidR="007B59C3" w:rsidRPr="001C3E38" w:rsidRDefault="007B59C3" w:rsidP="007B59C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14:paraId="044734AA" w14:textId="77777777" w:rsidR="007B59C3" w:rsidRPr="001C3E38" w:rsidRDefault="007B59C3" w:rsidP="007B59C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14:paraId="3ABC0D43" w14:textId="77777777" w:rsidR="007B59C3" w:rsidRPr="001C3E38" w:rsidRDefault="007B59C3" w:rsidP="007B59C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14:paraId="5B55A352" w14:textId="77777777" w:rsidR="007B59C3" w:rsidRPr="001C3E38" w:rsidRDefault="007B59C3" w:rsidP="007B59C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14:paraId="7F6774C6" w14:textId="77777777" w:rsidR="007B59C3" w:rsidRPr="001C3E38" w:rsidRDefault="007B59C3" w:rsidP="007B59C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14:paraId="3EF7D707" w14:textId="77777777" w:rsidR="001D3742" w:rsidRDefault="001D3742" w:rsidP="004449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</w:p>
    <w:p w14:paraId="4500EE33" w14:textId="77777777" w:rsidR="007B59C3" w:rsidRDefault="007B59C3" w:rsidP="004449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60"/>
          <w:lang w:eastAsia="it-IT"/>
        </w:rPr>
      </w:pPr>
    </w:p>
    <w:p w14:paraId="4FBEFF61" w14:textId="77777777" w:rsidR="001D3742" w:rsidRDefault="00890911" w:rsidP="00890911">
      <w:pPr>
        <w:tabs>
          <w:tab w:val="left" w:pos="264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60"/>
          <w:lang w:eastAsia="it-IT"/>
        </w:rPr>
      </w:pPr>
      <w:r>
        <w:rPr>
          <w:rFonts w:ascii="Arial" w:hAnsi="Arial" w:cs="Arial"/>
          <w:b/>
          <w:bCs/>
          <w:color w:val="000000"/>
          <w:sz w:val="36"/>
          <w:szCs w:val="60"/>
          <w:lang w:eastAsia="it-IT"/>
        </w:rPr>
        <w:tab/>
      </w:r>
    </w:p>
    <w:p w14:paraId="6D5818CF" w14:textId="77777777" w:rsidR="001D3742" w:rsidRDefault="001D3742" w:rsidP="004449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60"/>
          <w:lang w:eastAsia="it-IT"/>
        </w:rPr>
      </w:pPr>
    </w:p>
    <w:p w14:paraId="67BC9E9B" w14:textId="77777777" w:rsidR="001D3742" w:rsidRDefault="001D3742" w:rsidP="004449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60"/>
          <w:lang w:eastAsia="it-IT"/>
        </w:rPr>
      </w:pPr>
    </w:p>
    <w:p w14:paraId="4A1D7F3E" w14:textId="77777777" w:rsidR="00256D9C" w:rsidRPr="00256D9C" w:rsidRDefault="00256D9C" w:rsidP="00256D9C"/>
    <w:p w14:paraId="68A74CAE" w14:textId="451B89F7" w:rsidR="002C0CC9" w:rsidRDefault="0073728B" w:rsidP="002C0CC9">
      <w:pPr>
        <w:spacing w:line="276" w:lineRule="auto"/>
        <w:jc w:val="both"/>
        <w:rPr>
          <w:rFonts w:ascii="Arial" w:hAnsi="Arial" w:cs="Arial"/>
          <w:b/>
          <w:bCs/>
          <w:color w:val="000000"/>
          <w:sz w:val="40"/>
          <w:szCs w:val="48"/>
          <w:lang w:eastAsia="it-I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B39E7" wp14:editId="4E1CE21E">
                <wp:simplePos x="0" y="0"/>
                <wp:positionH relativeFrom="column">
                  <wp:posOffset>-359410</wp:posOffset>
                </wp:positionH>
                <wp:positionV relativeFrom="paragraph">
                  <wp:posOffset>89535</wp:posOffset>
                </wp:positionV>
                <wp:extent cx="6878955" cy="1433830"/>
                <wp:effectExtent l="27305" t="25400" r="37465" b="45720"/>
                <wp:wrapNone/>
                <wp:docPr id="9812485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43383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5B5578" w14:textId="77777777" w:rsidR="001D3742" w:rsidRPr="000D7074" w:rsidRDefault="00144DBB" w:rsidP="001D37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60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60"/>
                                <w:lang w:eastAsia="it-IT"/>
                              </w:rPr>
                              <w:t xml:space="preserve">ALLEGATO </w:t>
                            </w:r>
                            <w:r w:rsidR="001D3742" w:rsidRPr="000D707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60"/>
                                <w:lang w:eastAsia="it-IT"/>
                              </w:rPr>
                              <w:t>1</w:t>
                            </w:r>
                          </w:p>
                          <w:p w14:paraId="62EAC1D2" w14:textId="77777777" w:rsidR="001D3742" w:rsidRPr="000D7074" w:rsidRDefault="001D3742" w:rsidP="001D37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60"/>
                                <w:lang w:eastAsia="it-IT"/>
                              </w:rPr>
                            </w:pPr>
                            <w:r w:rsidRPr="000D707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60"/>
                                <w:lang w:eastAsia="it-IT"/>
                              </w:rPr>
                              <w:t xml:space="preserve">AL MANUALE </w:t>
                            </w:r>
                            <w:r w:rsidR="0089091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48"/>
                                <w:lang w:eastAsia="it-IT"/>
                              </w:rPr>
                              <w:t xml:space="preserve">DELLA </w:t>
                            </w:r>
                            <w:r w:rsidR="00890911" w:rsidRPr="0089091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48"/>
                                <w:lang w:eastAsia="it-IT"/>
                              </w:rPr>
                              <w:t>CONSERVAZIONE DEI DOCUMENTI INFORMATICI</w:t>
                            </w:r>
                          </w:p>
                          <w:p w14:paraId="631A7E69" w14:textId="77777777" w:rsidR="001D3742" w:rsidRPr="000D7074" w:rsidRDefault="001D3742" w:rsidP="001D3742">
                            <w:pPr>
                              <w:rPr>
                                <w:rFonts w:ascii="Calibri" w:hAnsi="Calibri"/>
                                <w:i/>
                                <w:color w:val="FFFFFF"/>
                                <w:sz w:val="24"/>
                              </w:rPr>
                            </w:pPr>
                          </w:p>
                          <w:p w14:paraId="0A707C48" w14:textId="77777777" w:rsidR="001D3742" w:rsidRPr="000D7074" w:rsidRDefault="001D3742" w:rsidP="001D3742">
                            <w:pPr>
                              <w:rPr>
                                <w:rFonts w:ascii="Calibri" w:hAnsi="Calibri"/>
                                <w:i/>
                                <w:color w:val="FFFFFF"/>
                                <w:sz w:val="24"/>
                              </w:rPr>
                            </w:pPr>
                          </w:p>
                          <w:p w14:paraId="185C8C7B" w14:textId="77777777" w:rsidR="001D3742" w:rsidRPr="000D7074" w:rsidRDefault="001D3742" w:rsidP="001D3742">
                            <w:pPr>
                              <w:rPr>
                                <w:rFonts w:ascii="Calibri" w:hAnsi="Calibri"/>
                                <w:i/>
                                <w:color w:val="FFFFFF"/>
                                <w:sz w:val="24"/>
                              </w:rPr>
                            </w:pPr>
                          </w:p>
                          <w:p w14:paraId="3186189C" w14:textId="77777777" w:rsidR="001D3742" w:rsidRPr="000D7074" w:rsidRDefault="001D3742" w:rsidP="001D37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8"/>
                                <w:lang w:eastAsia="it-IT"/>
                              </w:rPr>
                            </w:pPr>
                            <w:r w:rsidRPr="000D7074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8"/>
                                <w:lang w:eastAsia="it-IT"/>
                              </w:rPr>
                              <w:t>NORME DI RIFERIMENTO</w:t>
                            </w:r>
                            <w:r w:rsidR="008D3E8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006AEEEB" w14:textId="77777777" w:rsidR="001D3742" w:rsidRDefault="001D3742" w:rsidP="001D3742">
                            <w:pPr>
                              <w:rPr>
                                <w:rFonts w:ascii="Calibri" w:hAnsi="Calibri"/>
                                <w:i/>
                                <w:color w:val="FFFFF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B39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3pt;margin-top:7.05pt;width:541.65pt;height:1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" fillcolor="#1f497d" strokecolor="#f2f2f2" strokeweight="3pt">
                <v:shadow on="t" color="#243f60" opacity=".5" offset="1pt"/>
                <v:textbox>
                  <w:txbxContent>
                    <w:p w14:paraId="785B5578" w14:textId="77777777" w:rsidR="001D3742" w:rsidRPr="000D7074" w:rsidRDefault="00144DBB" w:rsidP="001D374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60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60"/>
                          <w:lang w:eastAsia="it-IT"/>
                        </w:rPr>
                        <w:t xml:space="preserve">ALLEGATO </w:t>
                      </w:r>
                      <w:r w:rsidR="001D3742" w:rsidRPr="000D7074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60"/>
                          <w:lang w:eastAsia="it-IT"/>
                        </w:rPr>
                        <w:t>1</w:t>
                      </w:r>
                    </w:p>
                    <w:p w14:paraId="62EAC1D2" w14:textId="77777777" w:rsidR="001D3742" w:rsidRPr="000D7074" w:rsidRDefault="001D3742" w:rsidP="001D374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60"/>
                          <w:lang w:eastAsia="it-IT"/>
                        </w:rPr>
                      </w:pPr>
                      <w:r w:rsidRPr="000D7074"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60"/>
                          <w:lang w:eastAsia="it-IT"/>
                        </w:rPr>
                        <w:t xml:space="preserve">AL MANUALE </w:t>
                      </w:r>
                      <w:r w:rsidR="00890911"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48"/>
                          <w:lang w:eastAsia="it-IT"/>
                        </w:rPr>
                        <w:t xml:space="preserve">DELLA </w:t>
                      </w:r>
                      <w:r w:rsidR="00890911" w:rsidRPr="00890911">
                        <w:rPr>
                          <w:rFonts w:ascii="Arial" w:hAnsi="Arial" w:cs="Arial"/>
                          <w:b/>
                          <w:bCs/>
                          <w:color w:val="FFFFFF"/>
                          <w:sz w:val="18"/>
                          <w:szCs w:val="48"/>
                          <w:lang w:eastAsia="it-IT"/>
                        </w:rPr>
                        <w:t>CONSERVAZIONE DEI DOCUMENTI INFORMATICI</w:t>
                      </w:r>
                    </w:p>
                    <w:p w14:paraId="631A7E69" w14:textId="77777777" w:rsidR="001D3742" w:rsidRPr="000D7074" w:rsidRDefault="001D3742" w:rsidP="001D3742">
                      <w:pPr>
                        <w:rPr>
                          <w:rFonts w:ascii="Calibri" w:hAnsi="Calibri"/>
                          <w:i/>
                          <w:color w:val="FFFFFF"/>
                          <w:sz w:val="24"/>
                        </w:rPr>
                      </w:pPr>
                    </w:p>
                    <w:p w14:paraId="0A707C48" w14:textId="77777777" w:rsidR="001D3742" w:rsidRPr="000D7074" w:rsidRDefault="001D3742" w:rsidP="001D3742">
                      <w:pPr>
                        <w:rPr>
                          <w:rFonts w:ascii="Calibri" w:hAnsi="Calibri"/>
                          <w:i/>
                          <w:color w:val="FFFFFF"/>
                          <w:sz w:val="24"/>
                        </w:rPr>
                      </w:pPr>
                    </w:p>
                    <w:p w14:paraId="185C8C7B" w14:textId="77777777" w:rsidR="001D3742" w:rsidRPr="000D7074" w:rsidRDefault="001D3742" w:rsidP="001D3742">
                      <w:pPr>
                        <w:rPr>
                          <w:rFonts w:ascii="Calibri" w:hAnsi="Calibri"/>
                          <w:i/>
                          <w:color w:val="FFFFFF"/>
                          <w:sz w:val="24"/>
                        </w:rPr>
                      </w:pPr>
                    </w:p>
                    <w:p w14:paraId="3186189C" w14:textId="77777777" w:rsidR="001D3742" w:rsidRPr="000D7074" w:rsidRDefault="001D3742" w:rsidP="001D374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8"/>
                          <w:lang w:eastAsia="it-IT"/>
                        </w:rPr>
                      </w:pPr>
                      <w:r w:rsidRPr="000D7074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8"/>
                          <w:lang w:eastAsia="it-IT"/>
                        </w:rPr>
                        <w:t>NORME DI RIFERIMENTO</w:t>
                      </w:r>
                      <w:r w:rsidR="008D3E82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8"/>
                          <w:lang w:eastAsia="it-IT"/>
                        </w:rPr>
                        <w:t xml:space="preserve"> </w:t>
                      </w:r>
                    </w:p>
                    <w:p w14:paraId="006AEEEB" w14:textId="77777777" w:rsidR="001D3742" w:rsidRDefault="001D3742" w:rsidP="001D3742">
                      <w:pPr>
                        <w:rPr>
                          <w:rFonts w:ascii="Calibri" w:hAnsi="Calibri"/>
                          <w:i/>
                          <w:color w:val="FFFFF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742">
        <w:rPr>
          <w:rFonts w:ascii="Arial" w:hAnsi="Arial" w:cs="Arial"/>
          <w:b/>
          <w:bCs/>
          <w:color w:val="000000"/>
          <w:sz w:val="40"/>
          <w:szCs w:val="48"/>
          <w:lang w:eastAsia="it-IT"/>
        </w:rPr>
        <w:br w:type="page"/>
      </w:r>
    </w:p>
    <w:p w14:paraId="7535A346" w14:textId="77777777" w:rsidR="002C0CC9" w:rsidRPr="0041128A" w:rsidRDefault="002C0CC9" w:rsidP="002C0CC9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  <w:r w:rsidRPr="0041128A">
        <w:rPr>
          <w:rFonts w:ascii="Arial" w:hAnsi="Arial" w:cs="Arial"/>
          <w:b/>
          <w:sz w:val="24"/>
          <w:szCs w:val="20"/>
        </w:rPr>
        <w:t>Registro delle Versioni</w:t>
      </w:r>
    </w:p>
    <w:p w14:paraId="25C59C22" w14:textId="77777777" w:rsidR="002C0CC9" w:rsidRPr="0041128A" w:rsidRDefault="002C0CC9" w:rsidP="002C0CC9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096"/>
        <w:gridCol w:w="2635"/>
        <w:gridCol w:w="2681"/>
      </w:tblGrid>
      <w:tr w:rsidR="002C0CC9" w:rsidRPr="0041128A" w14:paraId="7387B092" w14:textId="77777777" w:rsidTr="000D0F26">
        <w:trPr>
          <w:trHeight w:val="677"/>
        </w:trPr>
        <w:tc>
          <w:tcPr>
            <w:tcW w:w="2235" w:type="dxa"/>
            <w:vAlign w:val="center"/>
          </w:tcPr>
          <w:p w14:paraId="290386D1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41128A">
              <w:rPr>
                <w:rFonts w:ascii="Arial" w:hAnsi="Arial" w:cs="Arial"/>
                <w:b/>
                <w:sz w:val="24"/>
                <w:szCs w:val="20"/>
              </w:rPr>
              <w:t xml:space="preserve">N° Versione </w:t>
            </w:r>
          </w:p>
        </w:tc>
        <w:tc>
          <w:tcPr>
            <w:tcW w:w="2126" w:type="dxa"/>
            <w:vAlign w:val="center"/>
          </w:tcPr>
          <w:p w14:paraId="0757B7D3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41128A">
              <w:rPr>
                <w:rFonts w:ascii="Arial" w:hAnsi="Arial" w:cs="Arial"/>
                <w:b/>
                <w:sz w:val="24"/>
                <w:szCs w:val="20"/>
              </w:rPr>
              <w:t>Data Emissione</w:t>
            </w:r>
          </w:p>
        </w:tc>
        <w:tc>
          <w:tcPr>
            <w:tcW w:w="2693" w:type="dxa"/>
            <w:vAlign w:val="center"/>
          </w:tcPr>
          <w:p w14:paraId="4B33E076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41128A">
              <w:rPr>
                <w:rFonts w:ascii="Arial" w:hAnsi="Arial" w:cs="Arial"/>
                <w:b/>
                <w:sz w:val="24"/>
                <w:szCs w:val="20"/>
              </w:rPr>
              <w:t>Modifiche apportate</w:t>
            </w:r>
          </w:p>
        </w:tc>
        <w:tc>
          <w:tcPr>
            <w:tcW w:w="2724" w:type="dxa"/>
            <w:vAlign w:val="center"/>
          </w:tcPr>
          <w:p w14:paraId="2036DB4C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0"/>
              </w:rPr>
            </w:pPr>
            <w:r w:rsidRPr="0041128A">
              <w:rPr>
                <w:rFonts w:ascii="Arial" w:hAnsi="Arial" w:cs="Arial"/>
                <w:b/>
                <w:sz w:val="24"/>
                <w:szCs w:val="20"/>
              </w:rPr>
              <w:t>Osservazioni</w:t>
            </w:r>
          </w:p>
        </w:tc>
      </w:tr>
      <w:tr w:rsidR="002C0CC9" w:rsidRPr="0041128A" w14:paraId="076216AF" w14:textId="77777777" w:rsidTr="000D0F26">
        <w:trPr>
          <w:trHeight w:val="429"/>
        </w:trPr>
        <w:tc>
          <w:tcPr>
            <w:tcW w:w="2235" w:type="dxa"/>
          </w:tcPr>
          <w:p w14:paraId="378DD98F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 xml:space="preserve">Versione base </w:t>
            </w:r>
          </w:p>
        </w:tc>
        <w:tc>
          <w:tcPr>
            <w:tcW w:w="2126" w:type="dxa"/>
          </w:tcPr>
          <w:p w14:paraId="57E01AFD" w14:textId="2E8CC6D2" w:rsidR="002C0CC9" w:rsidRPr="0041128A" w:rsidRDefault="001E75AA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1E75AA">
              <w:rPr>
                <w:rFonts w:ascii="Arial" w:hAnsi="Arial" w:cs="Arial"/>
                <w:sz w:val="24"/>
                <w:szCs w:val="20"/>
              </w:rPr>
              <w:t>29</w:t>
            </w:r>
            <w:r w:rsidR="002C0CC9" w:rsidRPr="001E75AA">
              <w:rPr>
                <w:rFonts w:ascii="Arial" w:hAnsi="Arial" w:cs="Arial"/>
                <w:sz w:val="24"/>
                <w:szCs w:val="20"/>
              </w:rPr>
              <w:t>/</w:t>
            </w:r>
            <w:r>
              <w:rPr>
                <w:rFonts w:ascii="Arial" w:hAnsi="Arial" w:cs="Arial"/>
                <w:sz w:val="24"/>
                <w:szCs w:val="20"/>
              </w:rPr>
              <w:t>06</w:t>
            </w:r>
            <w:r w:rsidR="002C0CC9" w:rsidRPr="0041128A">
              <w:rPr>
                <w:rFonts w:ascii="Arial" w:hAnsi="Arial" w:cs="Arial"/>
                <w:sz w:val="24"/>
                <w:szCs w:val="20"/>
              </w:rPr>
              <w:t xml:space="preserve">/2026 </w:t>
            </w:r>
          </w:p>
        </w:tc>
        <w:tc>
          <w:tcPr>
            <w:tcW w:w="2693" w:type="dxa"/>
          </w:tcPr>
          <w:p w14:paraId="4B784628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60285C19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C0CC9" w:rsidRPr="0041128A" w14:paraId="79CBC450" w14:textId="77777777" w:rsidTr="000D0F26">
        <w:trPr>
          <w:trHeight w:val="429"/>
        </w:trPr>
        <w:tc>
          <w:tcPr>
            <w:tcW w:w="2235" w:type="dxa"/>
          </w:tcPr>
          <w:p w14:paraId="590CE4C1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>1° aggiornamento</w:t>
            </w:r>
          </w:p>
        </w:tc>
        <w:tc>
          <w:tcPr>
            <w:tcW w:w="2126" w:type="dxa"/>
          </w:tcPr>
          <w:p w14:paraId="5EB0AE42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3B19F444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6DBCA9D2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C0CC9" w:rsidRPr="0041128A" w14:paraId="631FA166" w14:textId="77777777" w:rsidTr="000D0F26">
        <w:trPr>
          <w:trHeight w:val="429"/>
        </w:trPr>
        <w:tc>
          <w:tcPr>
            <w:tcW w:w="2235" w:type="dxa"/>
          </w:tcPr>
          <w:p w14:paraId="193727FA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>2° aggiornamento</w:t>
            </w:r>
          </w:p>
        </w:tc>
        <w:tc>
          <w:tcPr>
            <w:tcW w:w="2126" w:type="dxa"/>
          </w:tcPr>
          <w:p w14:paraId="74055F7C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0D2D04B2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1319E2D4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C0CC9" w:rsidRPr="0041128A" w14:paraId="284FFDE8" w14:textId="77777777" w:rsidTr="000D0F26">
        <w:trPr>
          <w:trHeight w:val="429"/>
        </w:trPr>
        <w:tc>
          <w:tcPr>
            <w:tcW w:w="2235" w:type="dxa"/>
          </w:tcPr>
          <w:p w14:paraId="4F7FC3B5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>…</w:t>
            </w:r>
          </w:p>
        </w:tc>
        <w:tc>
          <w:tcPr>
            <w:tcW w:w="2126" w:type="dxa"/>
          </w:tcPr>
          <w:p w14:paraId="7383E80B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2669E06A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46D30412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C0CC9" w:rsidRPr="0041128A" w14:paraId="7D7301E4" w14:textId="77777777" w:rsidTr="000D0F26">
        <w:trPr>
          <w:trHeight w:val="429"/>
        </w:trPr>
        <w:tc>
          <w:tcPr>
            <w:tcW w:w="2235" w:type="dxa"/>
          </w:tcPr>
          <w:p w14:paraId="1FCC7F2E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>…</w:t>
            </w:r>
          </w:p>
        </w:tc>
        <w:tc>
          <w:tcPr>
            <w:tcW w:w="2126" w:type="dxa"/>
          </w:tcPr>
          <w:p w14:paraId="0337CFA5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0F25AECF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33AFE1B7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2C0CC9" w:rsidRPr="0041128A" w14:paraId="2EB798FA" w14:textId="77777777" w:rsidTr="000D0F26">
        <w:trPr>
          <w:trHeight w:val="429"/>
        </w:trPr>
        <w:tc>
          <w:tcPr>
            <w:tcW w:w="2235" w:type="dxa"/>
          </w:tcPr>
          <w:p w14:paraId="401C94EB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41128A">
              <w:rPr>
                <w:rFonts w:ascii="Arial" w:hAnsi="Arial" w:cs="Arial"/>
                <w:sz w:val="24"/>
                <w:szCs w:val="20"/>
              </w:rPr>
              <w:t>…</w:t>
            </w:r>
          </w:p>
        </w:tc>
        <w:tc>
          <w:tcPr>
            <w:tcW w:w="2126" w:type="dxa"/>
          </w:tcPr>
          <w:p w14:paraId="2389D669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693" w:type="dxa"/>
          </w:tcPr>
          <w:p w14:paraId="79F34837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724" w:type="dxa"/>
          </w:tcPr>
          <w:p w14:paraId="05267087" w14:textId="77777777" w:rsidR="002C0CC9" w:rsidRPr="0041128A" w:rsidRDefault="002C0CC9" w:rsidP="000D0F26">
            <w:pPr>
              <w:spacing w:line="276" w:lineRule="auto"/>
              <w:jc w:val="both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54746F8F" w14:textId="77777777" w:rsidR="00256D9C" w:rsidRPr="006E2582" w:rsidRDefault="00256D9C" w:rsidP="006E25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40"/>
          <w:szCs w:val="48"/>
          <w:lang w:eastAsia="it-IT"/>
        </w:rPr>
      </w:pPr>
    </w:p>
    <w:p w14:paraId="11E89865" w14:textId="77777777" w:rsidR="0017381E" w:rsidRPr="006E2582" w:rsidRDefault="00BD2A11" w:rsidP="006E25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br w:type="page"/>
      </w:r>
      <w:r w:rsidR="0017381E" w:rsidRPr="006E2582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lastRenderedPageBreak/>
        <w:t>Riferimenti normativi e Linee Guida</w:t>
      </w:r>
    </w:p>
    <w:p w14:paraId="232B0D32" w14:textId="77777777" w:rsidR="0017381E" w:rsidRPr="006E2582" w:rsidRDefault="0017381E" w:rsidP="006E25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it-IT"/>
        </w:rPr>
      </w:pPr>
    </w:p>
    <w:p w14:paraId="45A5FAF9" w14:textId="77777777" w:rsidR="006C7D83" w:rsidRPr="006E2582" w:rsidRDefault="006C7D83" w:rsidP="006E258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C7D83">
        <w:rPr>
          <w:rFonts w:ascii="Arial" w:eastAsia="Times New Roman" w:hAnsi="Arial" w:cs="Arial"/>
          <w:sz w:val="24"/>
          <w:szCs w:val="24"/>
          <w:lang w:eastAsia="it-IT"/>
        </w:rPr>
        <w:t>Il Manuale della conservazione si conforma al quadro normativo vigente in materia di documento informatico, gestione documentale, conservazione digitale e tutela degli archivi pubblici. I principali riferimenti sono:</w:t>
      </w:r>
    </w:p>
    <w:p w14:paraId="0B9A0B0F" w14:textId="77777777" w:rsidR="006C7D83" w:rsidRPr="006C7D83" w:rsidRDefault="006C7D83" w:rsidP="006E258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FA707CE" w14:textId="77777777" w:rsidR="006C7D83" w:rsidRPr="006C7D83" w:rsidRDefault="006C7D83" w:rsidP="006E2582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Normativa</w:t>
      </w:r>
    </w:p>
    <w:p w14:paraId="35E33D02" w14:textId="77777777" w:rsidR="006C7D83" w:rsidRPr="006C7D83" w:rsidRDefault="006C7D83" w:rsidP="006E2582">
      <w:pPr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Codice dell’Amministrazione Digitale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 xml:space="preserve"> (D.Lgs. 82/2005 e s.m.i.), in particolare artt. 20–23 (documento informatico, copie e duplicati), artt. 40–43 (gestione informatica dei documenti), art. 44 (sistema di conservazione), art. 44-bis (conservatori accreditati) e art. 7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>1 (Linee Guida AgID)</w:t>
      </w:r>
    </w:p>
    <w:p w14:paraId="69A84107" w14:textId="77777777" w:rsidR="006C7D83" w:rsidRPr="006C7D83" w:rsidRDefault="006C7D83" w:rsidP="006E2582">
      <w:pPr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Linee Guida AgID sulla formazione, gestione e conservazione dei documenti informatici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>, adottate con Determinazione AgID n. 407/2020 e in vigore dal 1° gennaio 2022, comprensive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 xml:space="preserve"> degli aggiornamenti successivi</w:t>
      </w:r>
    </w:p>
    <w:p w14:paraId="76D3986F" w14:textId="77777777" w:rsidR="006C7D83" w:rsidRPr="006C7D83" w:rsidRDefault="006C7D83" w:rsidP="006E2582">
      <w:pPr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Regolamento sui criteri per la fornitura dei servizi di conservazione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 xml:space="preserve"> (AgID, Determinazione n. 455/2021), che definisce i requisiti per i fornitori di servizi di conservazione p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>er le Pubbliche Amministrazioni</w:t>
      </w:r>
    </w:p>
    <w:p w14:paraId="2E8BD3EF" w14:textId="77777777" w:rsidR="006C7D83" w:rsidRPr="006E2582" w:rsidRDefault="006C7D83" w:rsidP="006E2582">
      <w:pPr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Codice dei beni culturali e del paesaggio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 xml:space="preserve"> (D.Lgs. 42/2004), per gli aspetti relativi alla tutela degli archivi pubblici, alla vigilanza della Soprintendenza archivistica e alla disc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>iplina dello scarto documentale</w:t>
      </w:r>
    </w:p>
    <w:p w14:paraId="454E4A2C" w14:textId="77777777" w:rsidR="006E2582" w:rsidRPr="006E2582" w:rsidRDefault="006E2582" w:rsidP="006E2582">
      <w:pPr>
        <w:pStyle w:val="Normale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E2582">
        <w:rPr>
          <w:rStyle w:val="Enfasigrassetto"/>
          <w:rFonts w:ascii="Arial" w:hAnsi="Arial" w:cs="Arial"/>
        </w:rPr>
        <w:t>DPCM 3 dicembre 2013 – Regole tecniche per il protocollo informatico</w:t>
      </w:r>
      <w:r w:rsidRPr="006E2582">
        <w:rPr>
          <w:rFonts w:ascii="Arial" w:hAnsi="Arial" w:cs="Arial"/>
        </w:rPr>
        <w:t>, per gli aspetti ancora vigenti relativi alla gestione informatica dei documenti e dei flussi documentali</w:t>
      </w:r>
    </w:p>
    <w:p w14:paraId="6780455C" w14:textId="77777777" w:rsidR="006E2582" w:rsidRPr="006E2582" w:rsidRDefault="006E2582" w:rsidP="006E2582">
      <w:pPr>
        <w:pStyle w:val="Normale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E2582">
        <w:rPr>
          <w:rStyle w:val="Enfasigrassetto"/>
          <w:rFonts w:ascii="Arial" w:hAnsi="Arial" w:cs="Arial"/>
        </w:rPr>
        <w:t>Codice dei beni culturali e del paesaggio</w:t>
      </w:r>
      <w:r w:rsidRPr="006E2582">
        <w:rPr>
          <w:rFonts w:ascii="Arial" w:hAnsi="Arial" w:cs="Arial"/>
        </w:rPr>
        <w:t xml:space="preserve"> (D.Lgs. 42/2004), per la tutela degli archivi pubblici, la vigilanza della Soprintendenza archivistica e la disciplina dello scarto documentale</w:t>
      </w:r>
    </w:p>
    <w:p w14:paraId="3EF1D049" w14:textId="77777777" w:rsidR="006C7D83" w:rsidRPr="006C7D83" w:rsidRDefault="006C7D83" w:rsidP="006E2582">
      <w:pPr>
        <w:numPr>
          <w:ilvl w:val="0"/>
          <w:numId w:val="9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Regolamento (UE) 2016/679 – GDPR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D.Lgs. 196/2003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>, come modificato dal D.Lgs. 101/2018, per la disciplina della protezione dei dati personali e delle misure di sicurezza applicate ai processi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 xml:space="preserve"> documentali e di conservazione</w:t>
      </w:r>
    </w:p>
    <w:p w14:paraId="5DD04FA4" w14:textId="77777777" w:rsidR="006C7D83" w:rsidRPr="006E2582" w:rsidRDefault="006C7D83" w:rsidP="006E2582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B8C3F97" w14:textId="77777777" w:rsidR="006E2582" w:rsidRPr="006E2582" w:rsidRDefault="006E2582" w:rsidP="006E2582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E7044BE" w14:textId="77777777" w:rsidR="006E2582" w:rsidRPr="006E2582" w:rsidRDefault="006E2582" w:rsidP="006E2582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40A1266" w14:textId="77777777" w:rsidR="006C7D83" w:rsidRPr="006C7D83" w:rsidRDefault="006C7D83" w:rsidP="006E2582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lastRenderedPageBreak/>
        <w:t>Standard internazionali</w:t>
      </w:r>
    </w:p>
    <w:p w14:paraId="7170CA1D" w14:textId="77777777" w:rsidR="006C7D83" w:rsidRPr="006C7D83" w:rsidRDefault="006C7D83" w:rsidP="006E2582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ISO 14721 – OAIS (Open Archival Information System)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>, modello concettuale di riferimento per i sistemi di conservazione d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>igitale</w:t>
      </w:r>
    </w:p>
    <w:p w14:paraId="0F06AC6E" w14:textId="77777777" w:rsidR="006C7D83" w:rsidRPr="006C7D83" w:rsidRDefault="006C7D83" w:rsidP="006E2582">
      <w:pPr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ISO 15489 – Records Management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>, stand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>ard per la gestione documentale</w:t>
      </w:r>
    </w:p>
    <w:p w14:paraId="0E11AF09" w14:textId="77777777" w:rsidR="006C7D83" w:rsidRPr="006E2582" w:rsidRDefault="006C7D83" w:rsidP="006E2582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5774B327" w14:textId="77777777" w:rsidR="006C7D83" w:rsidRPr="006C7D83" w:rsidRDefault="006C7D83" w:rsidP="006E2582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Normativa interna dell’Ente</w:t>
      </w:r>
    </w:p>
    <w:p w14:paraId="3309B290" w14:textId="77777777" w:rsidR="006C7D83" w:rsidRPr="006C7D83" w:rsidRDefault="006C7D83" w:rsidP="006E2582">
      <w:pPr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Regolamento per la gestione informatica dei documenti e del protocollo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6141E86" w14:textId="77777777" w:rsidR="006C7D83" w:rsidRPr="006C7D83" w:rsidRDefault="006C7D83" w:rsidP="006E2582">
      <w:pPr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Regolamento di organizzazione degli uffici e dei servizi</w:t>
      </w:r>
    </w:p>
    <w:p w14:paraId="1CE3B6D9" w14:textId="77777777" w:rsidR="006C7D83" w:rsidRPr="006C7D83" w:rsidRDefault="006C7D83" w:rsidP="006E2582">
      <w:pPr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Atti di nomina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 xml:space="preserve"> del Responsabile della conservazione e del Responsa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>bile della gestione documentale</w:t>
      </w:r>
    </w:p>
    <w:p w14:paraId="66EA7733" w14:textId="77777777" w:rsidR="006C7D83" w:rsidRPr="006C7D83" w:rsidRDefault="006C7D83" w:rsidP="006E2582">
      <w:pPr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Atto di affidamento del servizio di conservazione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 xml:space="preserve"> al C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>onservatore esterno qualificato</w:t>
      </w:r>
    </w:p>
    <w:p w14:paraId="4BEBCD99" w14:textId="77777777" w:rsidR="001C7F3B" w:rsidRPr="006E2582" w:rsidRDefault="006C7D83" w:rsidP="006E2582">
      <w:pPr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E25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Manuale di gestione del protocollo informatico, dei flussi documentali e degli archivi</w:t>
      </w:r>
      <w:r w:rsidRPr="006C7D83">
        <w:rPr>
          <w:rFonts w:ascii="Arial" w:eastAsia="Times New Roman" w:hAnsi="Arial" w:cs="Arial"/>
          <w:sz w:val="24"/>
          <w:szCs w:val="24"/>
          <w:lang w:eastAsia="it-IT"/>
        </w:rPr>
        <w:t xml:space="preserve">, che disciplina la formazione, la registrazione, la classificazione, la fascicolazione e la gestione dei </w:t>
      </w:r>
      <w:r w:rsidR="006E2582">
        <w:rPr>
          <w:rFonts w:ascii="Arial" w:eastAsia="Times New Roman" w:hAnsi="Arial" w:cs="Arial"/>
          <w:sz w:val="24"/>
          <w:szCs w:val="24"/>
          <w:lang w:eastAsia="it-IT"/>
        </w:rPr>
        <w:t>documenti informatici dell’Ente</w:t>
      </w:r>
    </w:p>
    <w:sectPr w:rsidR="001C7F3B" w:rsidRPr="006E2582" w:rsidSect="006B53A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19B8" w14:textId="77777777" w:rsidR="00E75DC1" w:rsidRDefault="00E75DC1" w:rsidP="000137EF">
      <w:r>
        <w:separator/>
      </w:r>
    </w:p>
  </w:endnote>
  <w:endnote w:type="continuationSeparator" w:id="0">
    <w:p w14:paraId="63025309" w14:textId="77777777" w:rsidR="00E75DC1" w:rsidRDefault="00E75DC1" w:rsidP="0001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3CEC" w14:textId="77777777" w:rsidR="008807E7" w:rsidRPr="009D4CAA" w:rsidRDefault="008807E7">
    <w:pPr>
      <w:pStyle w:val="Pidipagina"/>
      <w:jc w:val="right"/>
      <w:rPr>
        <w:rFonts w:ascii="Arial" w:hAnsi="Arial" w:cs="Arial"/>
        <w:sz w:val="24"/>
        <w:szCs w:val="24"/>
      </w:rPr>
    </w:pPr>
    <w:r w:rsidRPr="009D4CAA">
      <w:rPr>
        <w:rFonts w:ascii="Arial" w:hAnsi="Arial" w:cs="Arial"/>
        <w:sz w:val="24"/>
        <w:szCs w:val="24"/>
      </w:rPr>
      <w:fldChar w:fldCharType="begin"/>
    </w:r>
    <w:r w:rsidRPr="009D4CAA">
      <w:rPr>
        <w:rFonts w:ascii="Arial" w:hAnsi="Arial" w:cs="Arial"/>
        <w:sz w:val="24"/>
        <w:szCs w:val="24"/>
      </w:rPr>
      <w:instrText>PAGE   \* MERGEFORMAT</w:instrText>
    </w:r>
    <w:r w:rsidRPr="009D4CAA">
      <w:rPr>
        <w:rFonts w:ascii="Arial" w:hAnsi="Arial" w:cs="Arial"/>
        <w:sz w:val="24"/>
        <w:szCs w:val="24"/>
      </w:rPr>
      <w:fldChar w:fldCharType="separate"/>
    </w:r>
    <w:r w:rsidR="00B44D27">
      <w:rPr>
        <w:rFonts w:ascii="Arial" w:hAnsi="Arial" w:cs="Arial"/>
        <w:noProof/>
        <w:sz w:val="24"/>
        <w:szCs w:val="24"/>
      </w:rPr>
      <w:t>1</w:t>
    </w:r>
    <w:r w:rsidRPr="009D4CAA">
      <w:rPr>
        <w:rFonts w:ascii="Arial" w:hAnsi="Arial" w:cs="Arial"/>
        <w:sz w:val="24"/>
        <w:szCs w:val="24"/>
      </w:rPr>
      <w:fldChar w:fldCharType="end"/>
    </w:r>
  </w:p>
  <w:p w14:paraId="40C41329" w14:textId="77777777" w:rsidR="008807E7" w:rsidRDefault="00880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B567" w14:textId="77777777" w:rsidR="00E75DC1" w:rsidRDefault="00E75DC1" w:rsidP="000137EF">
      <w:r>
        <w:separator/>
      </w:r>
    </w:p>
  </w:footnote>
  <w:footnote w:type="continuationSeparator" w:id="0">
    <w:p w14:paraId="25EDF86E" w14:textId="77777777" w:rsidR="00E75DC1" w:rsidRDefault="00E75DC1" w:rsidP="0001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7"/>
      <w:gridCol w:w="5388"/>
      <w:gridCol w:w="1134"/>
      <w:gridCol w:w="992"/>
    </w:tblGrid>
    <w:tr w:rsidR="006B53AC" w:rsidRPr="005444EB" w14:paraId="27551149" w14:textId="77777777" w:rsidTr="001F1F72">
      <w:trPr>
        <w:cantSplit/>
        <w:trHeight w:val="221"/>
      </w:trPr>
      <w:tc>
        <w:tcPr>
          <w:tcW w:w="23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75650CC0" w14:textId="49F4D352" w:rsidR="006B53AC" w:rsidRPr="005444EB" w:rsidRDefault="006B53AC" w:rsidP="006B53AC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  <w:rPr>
              <w:rFonts w:ascii="Arial" w:hAnsi="Arial" w:cs="Arial"/>
              <w:b/>
              <w:sz w:val="32"/>
              <w:szCs w:val="20"/>
              <w:lang w:eastAsia="it-IT"/>
            </w:rPr>
          </w:pPr>
          <w:r w:rsidRPr="005444EB">
            <w:rPr>
              <w:rFonts w:ascii="Arial" w:hAnsi="Arial" w:cs="Arial"/>
              <w:b/>
              <w:sz w:val="28"/>
              <w:szCs w:val="20"/>
              <w:lang w:eastAsia="it-IT"/>
            </w:rPr>
            <w:t xml:space="preserve">COMUNE </w:t>
          </w:r>
          <w:r w:rsidR="0073728B">
            <w:rPr>
              <w:rFonts w:ascii="Arial" w:hAnsi="Arial" w:cs="Arial"/>
              <w:b/>
              <w:sz w:val="28"/>
              <w:szCs w:val="20"/>
              <w:lang w:eastAsia="it-IT"/>
            </w:rPr>
            <w:t>GAMBASCA</w:t>
          </w:r>
        </w:p>
      </w:tc>
      <w:tc>
        <w:tcPr>
          <w:tcW w:w="5388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0A722B4" w14:textId="77777777" w:rsidR="00890911" w:rsidRPr="005444EB" w:rsidRDefault="00890911" w:rsidP="00890911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  <w:rPr>
              <w:rFonts w:ascii="Arial" w:hAnsi="Arial" w:cs="Arial"/>
              <w:b/>
              <w:sz w:val="24"/>
            </w:rPr>
          </w:pPr>
          <w:r w:rsidRPr="005444EB">
            <w:rPr>
              <w:rFonts w:ascii="Arial" w:hAnsi="Arial" w:cs="Arial"/>
              <w:b/>
              <w:sz w:val="24"/>
            </w:rPr>
            <w:t>MANUALE DELLA CONSERVAZIONE DEI DOCUMENTI INFORMATICI</w:t>
          </w:r>
        </w:p>
        <w:p w14:paraId="66EB1E18" w14:textId="77777777" w:rsidR="006B53AC" w:rsidRPr="005444EB" w:rsidRDefault="005444EB" w:rsidP="00890911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  <w:rPr>
              <w:rFonts w:ascii="Arial" w:hAnsi="Arial" w:cs="Arial"/>
              <w:sz w:val="24"/>
            </w:rPr>
          </w:pPr>
          <w:r w:rsidRPr="005444EB">
            <w:rPr>
              <w:rFonts w:ascii="Arial" w:hAnsi="Arial" w:cs="Arial"/>
              <w:sz w:val="24"/>
            </w:rPr>
            <w:t>ALLEGATO 1</w:t>
          </w:r>
          <w:r w:rsidR="006B53AC" w:rsidRPr="005444EB">
            <w:rPr>
              <w:rFonts w:ascii="Arial" w:hAnsi="Arial" w:cs="Arial"/>
              <w:sz w:val="24"/>
            </w:rPr>
            <w:t xml:space="preserve"> </w:t>
          </w:r>
        </w:p>
      </w:tc>
      <w:tc>
        <w:tcPr>
          <w:tcW w:w="21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64EE5C3A" w14:textId="77777777" w:rsidR="006B53AC" w:rsidRPr="005444EB" w:rsidRDefault="000D50A2" w:rsidP="00890911">
          <w:pPr>
            <w:tabs>
              <w:tab w:val="center" w:pos="4819"/>
              <w:tab w:val="right" w:pos="9638"/>
            </w:tabs>
            <w:spacing w:after="160" w:line="259" w:lineRule="auto"/>
            <w:jc w:val="center"/>
            <w:rPr>
              <w:rFonts w:ascii="Arial" w:hAnsi="Arial" w:cs="Arial"/>
              <w:b/>
              <w:sz w:val="24"/>
            </w:rPr>
          </w:pPr>
          <w:r w:rsidRPr="005444EB">
            <w:rPr>
              <w:rFonts w:ascii="Arial" w:hAnsi="Arial" w:cs="Arial"/>
              <w:b/>
            </w:rPr>
            <w:t>All1</w:t>
          </w:r>
          <w:r w:rsidR="006B53AC" w:rsidRPr="005444EB">
            <w:rPr>
              <w:rFonts w:ascii="Arial" w:hAnsi="Arial" w:cs="Arial"/>
              <w:b/>
            </w:rPr>
            <w:t>Man</w:t>
          </w:r>
          <w:r w:rsidR="00890911" w:rsidRPr="005444EB">
            <w:rPr>
              <w:rFonts w:ascii="Arial" w:hAnsi="Arial" w:cs="Arial"/>
              <w:b/>
            </w:rPr>
            <w:t>Cons</w:t>
          </w:r>
        </w:p>
      </w:tc>
    </w:tr>
    <w:tr w:rsidR="006B53AC" w:rsidRPr="005444EB" w14:paraId="3B548B3D" w14:textId="77777777" w:rsidTr="001F1F72">
      <w:trPr>
        <w:cantSplit/>
        <w:trHeight w:val="263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0584ECCC" w14:textId="77777777" w:rsidR="006B53AC" w:rsidRPr="005444EB" w:rsidRDefault="006B53AC" w:rsidP="006B53AC">
          <w:pPr>
            <w:spacing w:after="160" w:line="259" w:lineRule="auto"/>
            <w:rPr>
              <w:rFonts w:ascii="Arial" w:hAnsi="Arial" w:cs="Arial"/>
              <w:b/>
              <w:sz w:val="32"/>
            </w:rPr>
          </w:pPr>
        </w:p>
      </w:tc>
      <w:tc>
        <w:tcPr>
          <w:tcW w:w="5388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577D0854" w14:textId="77777777" w:rsidR="006B53AC" w:rsidRPr="005444EB" w:rsidRDefault="006B53AC" w:rsidP="006B53AC">
          <w:pPr>
            <w:spacing w:after="160" w:line="259" w:lineRule="auto"/>
            <w:rPr>
              <w:rFonts w:ascii="Arial" w:hAnsi="Arial" w:cs="Arial"/>
              <w:sz w:val="24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72B55D86" w14:textId="77777777" w:rsidR="006B53AC" w:rsidRPr="005444EB" w:rsidRDefault="006B53AC" w:rsidP="006B53AC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sz w:val="16"/>
              <w:szCs w:val="16"/>
              <w:lang w:val="x-none"/>
            </w:rPr>
          </w:pPr>
          <w:r w:rsidRPr="005444EB">
            <w:rPr>
              <w:rFonts w:ascii="Arial" w:hAnsi="Arial" w:cs="Arial"/>
              <w:sz w:val="16"/>
              <w:szCs w:val="16"/>
              <w:lang w:val="x-none"/>
            </w:rPr>
            <w:t xml:space="preserve">Rev. 01 </w:t>
          </w:r>
        </w:p>
        <w:p w14:paraId="32D1C3CF" w14:textId="7DF596A8" w:rsidR="006B53AC" w:rsidRPr="005444EB" w:rsidRDefault="006B53AC" w:rsidP="006B53AC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sz w:val="16"/>
              <w:szCs w:val="16"/>
            </w:rPr>
          </w:pPr>
          <w:r w:rsidRPr="005444EB">
            <w:rPr>
              <w:rFonts w:ascii="Arial" w:hAnsi="Arial" w:cs="Arial"/>
              <w:sz w:val="16"/>
              <w:szCs w:val="16"/>
              <w:lang w:val="x-none"/>
            </w:rPr>
            <w:t xml:space="preserve">del </w:t>
          </w:r>
          <w:r w:rsidR="00017349">
            <w:rPr>
              <w:rFonts w:ascii="Arial" w:hAnsi="Arial" w:cs="Arial"/>
              <w:sz w:val="16"/>
              <w:szCs w:val="16"/>
            </w:rPr>
            <w:t>29/06/2026</w:t>
          </w:r>
        </w:p>
      </w:tc>
      <w:tc>
        <w:tcPr>
          <w:tcW w:w="99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323E4F"/>
          <w:vAlign w:val="center"/>
          <w:hideMark/>
        </w:tcPr>
        <w:p w14:paraId="3451A5DB" w14:textId="77777777" w:rsidR="006B53AC" w:rsidRPr="005444EB" w:rsidRDefault="006B53AC" w:rsidP="006B53AC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color w:val="FFFFFF"/>
              <w:sz w:val="16"/>
              <w:szCs w:val="16"/>
              <w:lang w:val="x-none"/>
            </w:rPr>
          </w:pP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t xml:space="preserve">Pag. 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instrText xml:space="preserve"> PAGE </w:instrTex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B44D27">
            <w:rPr>
              <w:rFonts w:ascii="Arial" w:hAnsi="Arial" w:cs="Arial"/>
              <w:noProof/>
              <w:color w:val="FFFFFF"/>
              <w:sz w:val="16"/>
              <w:szCs w:val="16"/>
              <w:lang w:val="x-none"/>
            </w:rPr>
            <w:t>1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end"/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t xml:space="preserve"> di 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begin"/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instrText xml:space="preserve"> NUMPAGES </w:instrTex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separate"/>
          </w:r>
          <w:r w:rsidR="00B44D27">
            <w:rPr>
              <w:rFonts w:ascii="Arial" w:hAnsi="Arial" w:cs="Arial"/>
              <w:noProof/>
              <w:color w:val="FFFFFF"/>
              <w:sz w:val="16"/>
              <w:szCs w:val="16"/>
              <w:lang w:val="x-none"/>
            </w:rPr>
            <w:t>4</w:t>
          </w:r>
          <w:r w:rsidRPr="005444EB">
            <w:rPr>
              <w:rFonts w:ascii="Arial" w:hAnsi="Arial" w:cs="Arial"/>
              <w:color w:val="FFFFFF"/>
              <w:sz w:val="16"/>
              <w:szCs w:val="16"/>
              <w:lang w:val="x-none"/>
            </w:rPr>
            <w:fldChar w:fldCharType="end"/>
          </w:r>
        </w:p>
      </w:tc>
    </w:tr>
    <w:tr w:rsidR="006B53AC" w:rsidRPr="005444EB" w14:paraId="7D34608B" w14:textId="77777777" w:rsidTr="001F1F72">
      <w:trPr>
        <w:cantSplit/>
        <w:trHeight w:val="58"/>
      </w:trPr>
      <w:tc>
        <w:tcPr>
          <w:tcW w:w="23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323E4F"/>
          <w:vAlign w:val="center"/>
          <w:hideMark/>
        </w:tcPr>
        <w:p w14:paraId="356E8458" w14:textId="77777777" w:rsidR="006B53AC" w:rsidRPr="005444EB" w:rsidRDefault="006B53AC" w:rsidP="006B53AC">
          <w:pPr>
            <w:spacing w:after="160" w:line="259" w:lineRule="auto"/>
            <w:rPr>
              <w:rFonts w:ascii="Arial" w:hAnsi="Arial" w:cs="Arial"/>
              <w:b/>
              <w:sz w:val="32"/>
            </w:rPr>
          </w:pPr>
        </w:p>
      </w:tc>
      <w:tc>
        <w:tcPr>
          <w:tcW w:w="5388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6BD7EDFF" w14:textId="77777777" w:rsidR="006B53AC" w:rsidRPr="005444EB" w:rsidRDefault="006B53AC" w:rsidP="006B53AC">
          <w:pPr>
            <w:spacing w:after="160" w:line="259" w:lineRule="auto"/>
            <w:rPr>
              <w:rFonts w:ascii="Arial" w:hAnsi="Arial" w:cs="Arial"/>
              <w:sz w:val="24"/>
            </w:rPr>
          </w:pPr>
        </w:p>
      </w:tc>
      <w:tc>
        <w:tcPr>
          <w:tcW w:w="212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323E4F"/>
          <w:hideMark/>
        </w:tcPr>
        <w:p w14:paraId="55D23B28" w14:textId="77777777" w:rsidR="006B53AC" w:rsidRPr="005444EB" w:rsidRDefault="006B53AC" w:rsidP="006B53AC">
          <w:pPr>
            <w:tabs>
              <w:tab w:val="center" w:pos="4819"/>
              <w:tab w:val="right" w:pos="9638"/>
            </w:tabs>
            <w:spacing w:after="160" w:line="259" w:lineRule="auto"/>
            <w:rPr>
              <w:rFonts w:ascii="Arial" w:hAnsi="Arial" w:cs="Arial"/>
              <w:lang w:val="x-none"/>
            </w:rPr>
          </w:pPr>
        </w:p>
      </w:tc>
    </w:tr>
  </w:tbl>
  <w:p w14:paraId="5D68ADBB" w14:textId="77777777" w:rsidR="006B53AC" w:rsidRDefault="006B53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C37"/>
    <w:multiLevelType w:val="multilevel"/>
    <w:tmpl w:val="A2CC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16D28"/>
    <w:multiLevelType w:val="hybridMultilevel"/>
    <w:tmpl w:val="105CDDDE"/>
    <w:lvl w:ilvl="0" w:tplc="51FA6F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01F0"/>
    <w:multiLevelType w:val="multilevel"/>
    <w:tmpl w:val="12E4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F719A"/>
    <w:multiLevelType w:val="hybridMultilevel"/>
    <w:tmpl w:val="4BD0E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B07DB"/>
    <w:multiLevelType w:val="multilevel"/>
    <w:tmpl w:val="000C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223CA"/>
    <w:multiLevelType w:val="hybridMultilevel"/>
    <w:tmpl w:val="817E2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27635"/>
    <w:multiLevelType w:val="hybridMultilevel"/>
    <w:tmpl w:val="E44CC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45085"/>
    <w:multiLevelType w:val="multilevel"/>
    <w:tmpl w:val="8406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864CA"/>
    <w:multiLevelType w:val="multilevel"/>
    <w:tmpl w:val="BEDA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E25C8"/>
    <w:multiLevelType w:val="multilevel"/>
    <w:tmpl w:val="6086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F1DB3"/>
    <w:multiLevelType w:val="hybridMultilevel"/>
    <w:tmpl w:val="0AA6E7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31979">
    <w:abstractNumId w:val="10"/>
  </w:num>
  <w:num w:numId="2" w16cid:durableId="1440027765">
    <w:abstractNumId w:val="1"/>
  </w:num>
  <w:num w:numId="3" w16cid:durableId="444813206">
    <w:abstractNumId w:val="9"/>
  </w:num>
  <w:num w:numId="4" w16cid:durableId="1436710665">
    <w:abstractNumId w:val="0"/>
  </w:num>
  <w:num w:numId="5" w16cid:durableId="1335717965">
    <w:abstractNumId w:val="8"/>
  </w:num>
  <w:num w:numId="6" w16cid:durableId="1221668327">
    <w:abstractNumId w:val="5"/>
  </w:num>
  <w:num w:numId="7" w16cid:durableId="816073011">
    <w:abstractNumId w:val="3"/>
  </w:num>
  <w:num w:numId="8" w16cid:durableId="460541729">
    <w:abstractNumId w:val="6"/>
  </w:num>
  <w:num w:numId="9" w16cid:durableId="1006597570">
    <w:abstractNumId w:val="4"/>
  </w:num>
  <w:num w:numId="10" w16cid:durableId="232397981">
    <w:abstractNumId w:val="7"/>
  </w:num>
  <w:num w:numId="11" w16cid:durableId="173882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C2"/>
    <w:rsid w:val="000137EF"/>
    <w:rsid w:val="00017349"/>
    <w:rsid w:val="0001779A"/>
    <w:rsid w:val="00027349"/>
    <w:rsid w:val="00030D67"/>
    <w:rsid w:val="00057077"/>
    <w:rsid w:val="00074C3D"/>
    <w:rsid w:val="00095061"/>
    <w:rsid w:val="000D3138"/>
    <w:rsid w:val="000D50A2"/>
    <w:rsid w:val="000D7074"/>
    <w:rsid w:val="000F3618"/>
    <w:rsid w:val="00120337"/>
    <w:rsid w:val="00137B64"/>
    <w:rsid w:val="00144DBB"/>
    <w:rsid w:val="0015780E"/>
    <w:rsid w:val="0017381E"/>
    <w:rsid w:val="001C7F3B"/>
    <w:rsid w:val="001D3742"/>
    <w:rsid w:val="001E75AA"/>
    <w:rsid w:val="001F1F72"/>
    <w:rsid w:val="001F25DF"/>
    <w:rsid w:val="00256D9C"/>
    <w:rsid w:val="00282769"/>
    <w:rsid w:val="002930B4"/>
    <w:rsid w:val="002A1BD2"/>
    <w:rsid w:val="002C0CC9"/>
    <w:rsid w:val="002D21F5"/>
    <w:rsid w:val="00367E7F"/>
    <w:rsid w:val="00444921"/>
    <w:rsid w:val="00450820"/>
    <w:rsid w:val="00534BD4"/>
    <w:rsid w:val="005444EB"/>
    <w:rsid w:val="005B7478"/>
    <w:rsid w:val="006635B4"/>
    <w:rsid w:val="006B53AC"/>
    <w:rsid w:val="006C7D83"/>
    <w:rsid w:val="006E2582"/>
    <w:rsid w:val="006E4411"/>
    <w:rsid w:val="00736AAB"/>
    <w:rsid w:val="0073728B"/>
    <w:rsid w:val="00737838"/>
    <w:rsid w:val="007B59C3"/>
    <w:rsid w:val="008141D2"/>
    <w:rsid w:val="00854B55"/>
    <w:rsid w:val="00854EA9"/>
    <w:rsid w:val="008807E7"/>
    <w:rsid w:val="00890911"/>
    <w:rsid w:val="008D3E82"/>
    <w:rsid w:val="008D697D"/>
    <w:rsid w:val="00941242"/>
    <w:rsid w:val="00955FD3"/>
    <w:rsid w:val="009D4CAA"/>
    <w:rsid w:val="009E39D9"/>
    <w:rsid w:val="009E50EB"/>
    <w:rsid w:val="00A134EA"/>
    <w:rsid w:val="00A17642"/>
    <w:rsid w:val="00A55529"/>
    <w:rsid w:val="00A87D7A"/>
    <w:rsid w:val="00A91495"/>
    <w:rsid w:val="00AB7A5A"/>
    <w:rsid w:val="00B22BAC"/>
    <w:rsid w:val="00B3667F"/>
    <w:rsid w:val="00B44D27"/>
    <w:rsid w:val="00B566DF"/>
    <w:rsid w:val="00B86C99"/>
    <w:rsid w:val="00BC7E4F"/>
    <w:rsid w:val="00BD2A11"/>
    <w:rsid w:val="00BE7948"/>
    <w:rsid w:val="00C9352B"/>
    <w:rsid w:val="00CB38F0"/>
    <w:rsid w:val="00CD6565"/>
    <w:rsid w:val="00D30E33"/>
    <w:rsid w:val="00D90222"/>
    <w:rsid w:val="00D92B9F"/>
    <w:rsid w:val="00DD5305"/>
    <w:rsid w:val="00E14EED"/>
    <w:rsid w:val="00E30D8B"/>
    <w:rsid w:val="00E75DC1"/>
    <w:rsid w:val="00E75E6D"/>
    <w:rsid w:val="00E914C2"/>
    <w:rsid w:val="00E93068"/>
    <w:rsid w:val="00E95CC2"/>
    <w:rsid w:val="00E9693B"/>
    <w:rsid w:val="00EB57A8"/>
    <w:rsid w:val="00EC7B7F"/>
    <w:rsid w:val="00F06033"/>
    <w:rsid w:val="00F1167A"/>
    <w:rsid w:val="00F637E2"/>
    <w:rsid w:val="00F71498"/>
    <w:rsid w:val="00FC56C0"/>
    <w:rsid w:val="00FC58EA"/>
    <w:rsid w:val="00FD7BEA"/>
    <w:rsid w:val="00FE1A44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7DB20"/>
  <w15:chartTrackingRefBased/>
  <w15:docId w15:val="{D3ADDCD1-C53E-4037-BE10-76FF8737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58EA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7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137E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37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137EF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6E2582"/>
    <w:pPr>
      <w:spacing w:before="100" w:beforeAutospacing="1" w:after="100" w:afterAutospacing="1"/>
    </w:pPr>
    <w:rPr>
      <w:rFonts w:eastAsia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6E2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2026-06-29T12:14:00Z</dcterms:created>
  <dcterms:modified xsi:type="dcterms:W3CDTF">2026-06-29T12:14:00Z</dcterms:modified>
</cp:coreProperties>
</file>